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C79F" w14:textId="744D5A08" w:rsidR="00CA5D4B" w:rsidRDefault="00CA5D4B" w:rsidP="00CA5D4B">
      <w:pPr>
        <w:spacing w:after="0"/>
        <w:jc w:val="center"/>
        <w:rPr>
          <w:b/>
          <w:bCs/>
          <w:sz w:val="28"/>
          <w:szCs w:val="28"/>
        </w:rPr>
      </w:pPr>
      <w:r w:rsidRPr="00CA5D4B">
        <w:rPr>
          <w:b/>
          <w:bCs/>
          <w:sz w:val="28"/>
          <w:szCs w:val="28"/>
        </w:rPr>
        <w:t>Notice of Admission</w:t>
      </w:r>
    </w:p>
    <w:p w14:paraId="5683D320" w14:textId="77777777" w:rsidR="00CA5D4B" w:rsidRPr="0031389D" w:rsidRDefault="00CA5D4B" w:rsidP="00CA5D4B">
      <w:pPr>
        <w:spacing w:after="0"/>
        <w:rPr>
          <w:b/>
          <w:bCs/>
          <w:sz w:val="24"/>
          <w:szCs w:val="24"/>
        </w:rPr>
      </w:pPr>
    </w:p>
    <w:p w14:paraId="63D16BB7" w14:textId="31326D24" w:rsidR="00CD3335" w:rsidRPr="0031389D" w:rsidRDefault="00CD3335" w:rsidP="00A00DF5">
      <w:pPr>
        <w:spacing w:after="0"/>
      </w:pPr>
      <w:r w:rsidRPr="0031389D">
        <w:t>Effect 01/01/2021 CMS is requiring agencies to submit a Home Health Notice of Admission (NOA) instead of a RAPs on and after 01/01/2021.</w:t>
      </w:r>
    </w:p>
    <w:p w14:paraId="3608C96D" w14:textId="101D366C" w:rsidR="003A6BD9" w:rsidRPr="0031389D" w:rsidRDefault="003A6BD9" w:rsidP="00A00DF5">
      <w:pPr>
        <w:spacing w:after="0"/>
      </w:pPr>
      <w:r w:rsidRPr="0031389D">
        <w:t>Per CMS guidelines</w:t>
      </w:r>
      <w:r w:rsidR="00DB124C" w:rsidRPr="0031389D">
        <w:t xml:space="preserve"> (MLN Matters MM12256)</w:t>
      </w:r>
    </w:p>
    <w:p w14:paraId="451458D8" w14:textId="51C5258B" w:rsidR="003A6BD9" w:rsidRPr="0031389D" w:rsidRDefault="003A6BD9" w:rsidP="00A00DF5">
      <w:pPr>
        <w:pStyle w:val="ListParagraph"/>
        <w:numPr>
          <w:ilvl w:val="0"/>
          <w:numId w:val="1"/>
        </w:numPr>
        <w:spacing w:after="0"/>
      </w:pPr>
      <w:r w:rsidRPr="0031389D">
        <w:t>HHA must submit a NOA to their MAC within 5 calendar days from the start of care date</w:t>
      </w:r>
      <w:r w:rsidR="0031389D" w:rsidRPr="0031389D">
        <w:t xml:space="preserve">. </w:t>
      </w:r>
      <w:r w:rsidRPr="0031389D">
        <w:t>The NOA is a one-time submission that establishes the HH POC and covers contiguous 30-day POCs until you discharge the individual from Medicare HH services</w:t>
      </w:r>
    </w:p>
    <w:p w14:paraId="5067A1DF" w14:textId="77777777" w:rsidR="0031389D" w:rsidRPr="0031389D" w:rsidRDefault="0031389D" w:rsidP="0031389D">
      <w:pPr>
        <w:pStyle w:val="ListParagraph"/>
        <w:numPr>
          <w:ilvl w:val="0"/>
          <w:numId w:val="1"/>
        </w:numPr>
        <w:spacing w:after="160" w:line="259" w:lineRule="auto"/>
      </w:pPr>
      <w:r w:rsidRPr="0031389D">
        <w:t>NOA will be sent using Type of Bill (TOB) 32A, then TOB 329 will continue to be used for final claims. Cancellation of Admission will use TOB 32D.</w:t>
      </w:r>
    </w:p>
    <w:p w14:paraId="32B9CBD1" w14:textId="77777777" w:rsidR="0031389D" w:rsidRPr="0031389D" w:rsidRDefault="0031389D" w:rsidP="0031389D">
      <w:pPr>
        <w:pStyle w:val="ListParagraph"/>
        <w:numPr>
          <w:ilvl w:val="1"/>
          <w:numId w:val="1"/>
        </w:numPr>
        <w:spacing w:after="160" w:line="259" w:lineRule="auto"/>
      </w:pPr>
      <w:r w:rsidRPr="0031389D">
        <w:t xml:space="preserve">Remarks are recommended when cancelling the NOA. </w:t>
      </w:r>
    </w:p>
    <w:p w14:paraId="28581E0B" w14:textId="52FB70B7" w:rsidR="0031389D" w:rsidRPr="0031389D" w:rsidRDefault="0031389D" w:rsidP="0031389D">
      <w:pPr>
        <w:pStyle w:val="ListParagraph"/>
        <w:numPr>
          <w:ilvl w:val="0"/>
          <w:numId w:val="1"/>
        </w:numPr>
        <w:spacing w:after="160" w:line="259" w:lineRule="auto"/>
      </w:pPr>
      <w:r w:rsidRPr="0031389D">
        <w:t xml:space="preserve">NOAs can be submitted to your MAC by mail, Electronic Data Interchange (EDI) or Direct Data Entry (DDE). </w:t>
      </w:r>
    </w:p>
    <w:p w14:paraId="578558DF" w14:textId="77777777" w:rsidR="0031389D" w:rsidRPr="0031389D" w:rsidRDefault="0031389D" w:rsidP="0031389D">
      <w:pPr>
        <w:pStyle w:val="ListParagraph"/>
        <w:numPr>
          <w:ilvl w:val="0"/>
          <w:numId w:val="1"/>
        </w:numPr>
        <w:spacing w:after="160" w:line="259" w:lineRule="auto"/>
      </w:pPr>
      <w:r w:rsidRPr="0031389D">
        <w:t>To submit an NOA, you mut have a verbal or written order from the physician that contains the services requires for the initial visit. You must have conducted an initial visit at the start of care (SOC)</w:t>
      </w:r>
    </w:p>
    <w:p w14:paraId="133E1992" w14:textId="48F8AAEB" w:rsidR="0031389D" w:rsidRPr="0031389D" w:rsidRDefault="0031389D" w:rsidP="0031389D">
      <w:pPr>
        <w:pStyle w:val="ListParagraph"/>
        <w:numPr>
          <w:ilvl w:val="0"/>
          <w:numId w:val="1"/>
        </w:numPr>
        <w:spacing w:after="160" w:line="259" w:lineRule="auto"/>
      </w:pPr>
      <w:r w:rsidRPr="0031389D">
        <w:t xml:space="preserve">CMS only requires 1 NOA for any series of HH POCs beginning with admission to home care and ending with discharge. Once you report a discharge to Medicare, you must send a new NOA before you submit any additional claims. </w:t>
      </w:r>
    </w:p>
    <w:p w14:paraId="1FE01783" w14:textId="653FAE94" w:rsidR="003A6BD9" w:rsidRPr="0031389D" w:rsidRDefault="003A6BD9" w:rsidP="00A00DF5">
      <w:pPr>
        <w:pStyle w:val="ListParagraph"/>
        <w:numPr>
          <w:ilvl w:val="0"/>
          <w:numId w:val="1"/>
        </w:numPr>
        <w:spacing w:after="0"/>
      </w:pPr>
      <w:r w:rsidRPr="0031389D">
        <w:t>All patients receiving HH services in 2021 whose servi</w:t>
      </w:r>
      <w:r w:rsidR="00DB124C" w:rsidRPr="0031389D">
        <w:t xml:space="preserve">ces will continue in 2022, agencies should submit a NOA with a one-time, artificial “admission” date corresponding </w:t>
      </w:r>
      <w:r w:rsidR="00A00DF5" w:rsidRPr="0031389D">
        <w:t>with</w:t>
      </w:r>
      <w:r w:rsidR="00DB124C" w:rsidRPr="0031389D">
        <w:t xml:space="preserve"> the “From” date of the first period of continuing care in 2022</w:t>
      </w:r>
    </w:p>
    <w:p w14:paraId="40F5241E" w14:textId="5F09AD9B" w:rsidR="00CA5D4B" w:rsidRPr="0031389D" w:rsidRDefault="00DB124C" w:rsidP="0031389D">
      <w:pPr>
        <w:pStyle w:val="ListParagraph"/>
        <w:numPr>
          <w:ilvl w:val="0"/>
          <w:numId w:val="5"/>
        </w:numPr>
        <w:spacing w:after="160" w:line="259" w:lineRule="auto"/>
      </w:pPr>
      <w:r w:rsidRPr="0031389D">
        <w:t xml:space="preserve">There will be a </w:t>
      </w:r>
      <w:r w:rsidR="00470ABC" w:rsidRPr="0031389D">
        <w:t>non-timely submission reduction in payment amount tied to any late NOA submissions when you don’t submit the NOA within 5 calendar days from the start of car</w:t>
      </w:r>
      <w:r w:rsidR="00CA5D4B" w:rsidRPr="0031389D">
        <w:t>e</w:t>
      </w:r>
      <w:r w:rsidR="0031389D" w:rsidRPr="0031389D">
        <w:t>. The reduction in payment would be equal to a 1/30</w:t>
      </w:r>
      <w:r w:rsidR="0031389D" w:rsidRPr="0031389D">
        <w:rPr>
          <w:vertAlign w:val="superscript"/>
        </w:rPr>
        <w:t>th</w:t>
      </w:r>
      <w:r w:rsidR="0031389D" w:rsidRPr="0031389D">
        <w:t xml:space="preserve"> reduction to the wage adjusted, 30-day period payment amount for each day from the HH SOC date until the date you submit the NOA. </w:t>
      </w:r>
    </w:p>
    <w:p w14:paraId="1CBB1E7C" w14:textId="77777777" w:rsidR="0031389D" w:rsidRPr="0031389D" w:rsidRDefault="0031389D" w:rsidP="0031389D">
      <w:pPr>
        <w:pStyle w:val="ListParagraph"/>
        <w:numPr>
          <w:ilvl w:val="0"/>
          <w:numId w:val="1"/>
        </w:numPr>
        <w:spacing w:after="160" w:line="259" w:lineRule="auto"/>
      </w:pPr>
      <w:r w:rsidRPr="0031389D">
        <w:t>If you fail to send the NOA timely, you may request an exception, which if approved waives the consequences of late filing. The 4 circumstances that may qualify for an exception are:</w:t>
      </w:r>
    </w:p>
    <w:p w14:paraId="518D2D79" w14:textId="77777777" w:rsidR="0031389D" w:rsidRPr="0031389D" w:rsidRDefault="0031389D" w:rsidP="0031389D">
      <w:pPr>
        <w:pStyle w:val="ListParagraph"/>
        <w:numPr>
          <w:ilvl w:val="1"/>
          <w:numId w:val="1"/>
        </w:numPr>
        <w:spacing w:after="160" w:line="259" w:lineRule="auto"/>
      </w:pPr>
      <w:r w:rsidRPr="0031389D">
        <w:t>Fires, floods earthquakes, or other unusual events that inflict extensive damage to the HHA’s ability to operate.</w:t>
      </w:r>
    </w:p>
    <w:p w14:paraId="30165E2A" w14:textId="77777777" w:rsidR="0031389D" w:rsidRPr="0031389D" w:rsidRDefault="0031389D" w:rsidP="0031389D">
      <w:pPr>
        <w:pStyle w:val="ListParagraph"/>
        <w:numPr>
          <w:ilvl w:val="1"/>
          <w:numId w:val="1"/>
        </w:numPr>
        <w:spacing w:after="160" w:line="259" w:lineRule="auto"/>
      </w:pPr>
      <w:r w:rsidRPr="0031389D">
        <w:t xml:space="preserve">An event that produces a data filing problem due to a CMS or MAC systems issue that is beyond your control. </w:t>
      </w:r>
    </w:p>
    <w:p w14:paraId="6527379D" w14:textId="77777777" w:rsidR="0031389D" w:rsidRPr="0031389D" w:rsidRDefault="0031389D" w:rsidP="0031389D">
      <w:pPr>
        <w:pStyle w:val="ListParagraph"/>
        <w:numPr>
          <w:ilvl w:val="1"/>
          <w:numId w:val="1"/>
        </w:numPr>
        <w:spacing w:after="160" w:line="259" w:lineRule="auto"/>
      </w:pPr>
      <w:r w:rsidRPr="0031389D">
        <w:t>You are a newly Medicare-certified HHA that is notified of that certification after the Medicare certification date, or which is awaiting its user ID from its MAC.</w:t>
      </w:r>
    </w:p>
    <w:p w14:paraId="2C8D7161" w14:textId="275279CF" w:rsidR="0031389D" w:rsidRPr="0031389D" w:rsidRDefault="0031389D" w:rsidP="0031389D">
      <w:pPr>
        <w:pStyle w:val="ListParagraph"/>
        <w:numPr>
          <w:ilvl w:val="1"/>
          <w:numId w:val="1"/>
        </w:numPr>
        <w:spacing w:after="160" w:line="259" w:lineRule="auto"/>
      </w:pPr>
      <w:r w:rsidRPr="0031389D">
        <w:t xml:space="preserve">Other circumstances that CMS or your MAC determines to be beyond your control. </w:t>
      </w:r>
    </w:p>
    <w:p w14:paraId="04657562" w14:textId="77777777" w:rsidR="0031389D" w:rsidRPr="0031389D" w:rsidRDefault="0031389D" w:rsidP="0031389D">
      <w:pPr>
        <w:pStyle w:val="ListParagraph"/>
        <w:numPr>
          <w:ilvl w:val="0"/>
          <w:numId w:val="1"/>
        </w:numPr>
        <w:spacing w:after="160" w:line="259" w:lineRule="auto"/>
      </w:pPr>
      <w:r w:rsidRPr="0031389D">
        <w:t>Your MAC will not grant exceptions if:</w:t>
      </w:r>
    </w:p>
    <w:p w14:paraId="4354D5D7" w14:textId="77777777" w:rsidR="0031389D" w:rsidRPr="0031389D" w:rsidRDefault="0031389D" w:rsidP="0031389D">
      <w:pPr>
        <w:pStyle w:val="ListParagraph"/>
        <w:numPr>
          <w:ilvl w:val="1"/>
          <w:numId w:val="1"/>
        </w:numPr>
        <w:spacing w:after="160" w:line="259" w:lineRule="auto"/>
      </w:pPr>
      <w:r w:rsidRPr="0031389D">
        <w:t>You can correct the NOA without waiting for Medicare systems actions</w:t>
      </w:r>
    </w:p>
    <w:p w14:paraId="289C7D83" w14:textId="77777777" w:rsidR="0031389D" w:rsidRPr="0031389D" w:rsidRDefault="0031389D" w:rsidP="0031389D">
      <w:pPr>
        <w:pStyle w:val="ListParagraph"/>
        <w:numPr>
          <w:ilvl w:val="1"/>
          <w:numId w:val="1"/>
        </w:numPr>
        <w:spacing w:after="160" w:line="259" w:lineRule="auto"/>
      </w:pPr>
      <w:r w:rsidRPr="0031389D">
        <w:t>You submit a partial NOA to fulfill the timely-filing requirement.</w:t>
      </w:r>
    </w:p>
    <w:p w14:paraId="1687CD5B" w14:textId="77777777" w:rsidR="0031389D" w:rsidRPr="0031389D" w:rsidRDefault="0031389D" w:rsidP="0031389D">
      <w:pPr>
        <w:pStyle w:val="ListParagraph"/>
        <w:numPr>
          <w:ilvl w:val="1"/>
          <w:numId w:val="1"/>
        </w:numPr>
        <w:spacing w:after="160" w:line="259" w:lineRule="auto"/>
      </w:pPr>
      <w:r w:rsidRPr="0031389D">
        <w:t xml:space="preserve">You have multiple provider identifiers and submit the identifier of a location that didn’t provide the service. </w:t>
      </w:r>
    </w:p>
    <w:p w14:paraId="63B20296" w14:textId="209AE891" w:rsidR="00CA5D4B" w:rsidRDefault="0031389D" w:rsidP="0031389D">
      <w:pPr>
        <w:pStyle w:val="ListParagraph"/>
        <w:numPr>
          <w:ilvl w:val="0"/>
          <w:numId w:val="1"/>
        </w:numPr>
        <w:spacing w:after="160" w:line="259" w:lineRule="auto"/>
      </w:pPr>
      <w:r w:rsidRPr="0031389D">
        <w:t xml:space="preserve">Claims submitted before an NOA has been received for the beneficiary will be returned to provider. </w:t>
      </w:r>
    </w:p>
    <w:p w14:paraId="71D8D35F" w14:textId="2067166B" w:rsidR="0031389D" w:rsidRPr="0031389D" w:rsidRDefault="0031389D" w:rsidP="0031389D">
      <w:pPr>
        <w:spacing w:after="160" w:line="259" w:lineRule="auto"/>
      </w:pPr>
      <w:r>
        <w:lastRenderedPageBreak/>
        <w:t>Allegheny Software will be accommodating these changes by adding an addition</w:t>
      </w:r>
      <w:r w:rsidR="00B92D84">
        <w:t>al</w:t>
      </w:r>
      <w:r>
        <w:t xml:space="preserve"> screen within Billing. See below. </w:t>
      </w:r>
    </w:p>
    <w:p w14:paraId="1963C8B9" w14:textId="6E95A60A" w:rsidR="00CA5D4B" w:rsidRPr="00CA5D4B" w:rsidRDefault="00CA5D4B" w:rsidP="00CA5D4B">
      <w:pPr>
        <w:spacing w:after="0"/>
        <w:rPr>
          <w:sz w:val="24"/>
          <w:szCs w:val="24"/>
        </w:rPr>
      </w:pPr>
    </w:p>
    <w:p w14:paraId="12709E1B" w14:textId="062A5AC7" w:rsidR="00EF687A" w:rsidRPr="00CA5D4B" w:rsidRDefault="00CD3D5D" w:rsidP="00CA5D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5D4B">
        <w:rPr>
          <w:sz w:val="24"/>
          <w:szCs w:val="24"/>
        </w:rPr>
        <w:t>NOA is</w:t>
      </w:r>
      <w:r w:rsidR="00A00DF5" w:rsidRPr="00CA5D4B">
        <w:rPr>
          <w:sz w:val="24"/>
          <w:szCs w:val="24"/>
        </w:rPr>
        <w:t xml:space="preserve"> located</w:t>
      </w:r>
      <w:r w:rsidR="00EF687A" w:rsidRPr="00CA5D4B">
        <w:rPr>
          <w:sz w:val="24"/>
          <w:szCs w:val="24"/>
        </w:rPr>
        <w:t xml:space="preserve"> within the Billing Tab&gt;Notice of Admission</w:t>
      </w:r>
    </w:p>
    <w:p w14:paraId="24E422AC" w14:textId="741E3C05" w:rsidR="0004230C" w:rsidRDefault="00474218">
      <w:r w:rsidRPr="00474218">
        <w:rPr>
          <w:noProof/>
        </w:rPr>
        <w:drawing>
          <wp:inline distT="0" distB="0" distL="0" distR="0" wp14:anchorId="783B7578" wp14:editId="749AB228">
            <wp:extent cx="4657725" cy="3681891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879" cy="37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968C9" w14:textId="7FFBAB9E" w:rsidR="00474218" w:rsidRDefault="00474218">
      <w:r w:rsidRPr="00474218">
        <w:rPr>
          <w:noProof/>
        </w:rPr>
        <w:drawing>
          <wp:inline distT="0" distB="0" distL="0" distR="0" wp14:anchorId="6681C3C8" wp14:editId="38EF7A21">
            <wp:extent cx="4714875" cy="2856631"/>
            <wp:effectExtent l="0" t="0" r="0" b="1270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8191" cy="29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3D750" w14:textId="49980F46" w:rsidR="00EF687A" w:rsidRDefault="00EF687A"/>
    <w:p w14:paraId="698EC9F7" w14:textId="39657273" w:rsidR="00EF687A" w:rsidRPr="00CA5D4B" w:rsidRDefault="00EF687A" w:rsidP="00CA5D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5D4B">
        <w:rPr>
          <w:sz w:val="24"/>
          <w:szCs w:val="24"/>
        </w:rPr>
        <w:lastRenderedPageBreak/>
        <w:t xml:space="preserve">Assessments that require NOA submissions will </w:t>
      </w:r>
      <w:r w:rsidR="00CA5D4B" w:rsidRPr="00CA5D4B">
        <w:rPr>
          <w:sz w:val="24"/>
          <w:szCs w:val="24"/>
        </w:rPr>
        <w:t>p</w:t>
      </w:r>
      <w:r w:rsidR="00CA5D4B">
        <w:rPr>
          <w:sz w:val="24"/>
          <w:szCs w:val="24"/>
        </w:rPr>
        <w:t xml:space="preserve">opulate </w:t>
      </w:r>
      <w:r w:rsidRPr="00CA5D4B">
        <w:rPr>
          <w:sz w:val="24"/>
          <w:szCs w:val="24"/>
        </w:rPr>
        <w:t>on the grid.</w:t>
      </w:r>
    </w:p>
    <w:p w14:paraId="558D7F47" w14:textId="03E47FD8" w:rsidR="00B83FC8" w:rsidRDefault="00B83FC8">
      <w:r w:rsidRPr="00B83FC8">
        <w:rPr>
          <w:noProof/>
        </w:rPr>
        <w:drawing>
          <wp:inline distT="0" distB="0" distL="0" distR="0" wp14:anchorId="572B7AE0" wp14:editId="47F6EDB2">
            <wp:extent cx="4495800" cy="3280108"/>
            <wp:effectExtent l="0" t="0" r="0" b="0"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8912" cy="334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87C5D" w14:textId="25633FC9" w:rsidR="00EF687A" w:rsidRDefault="00F976B2" w:rsidP="00F976B2">
      <w:pPr>
        <w:pStyle w:val="ListParagraph"/>
        <w:numPr>
          <w:ilvl w:val="0"/>
          <w:numId w:val="4"/>
        </w:numPr>
      </w:pPr>
      <w:r>
        <w:t>U</w:t>
      </w:r>
      <w:r w:rsidR="00EF687A">
        <w:t>ser will select the desired assessment(s) by clicking in the checkbox in the “Send” column</w:t>
      </w:r>
      <w:r w:rsidR="00C7622C">
        <w:t xml:space="preserve">, select an “Option to Perform” and create an “Electronic File Name” </w:t>
      </w:r>
    </w:p>
    <w:p w14:paraId="7B59CFDE" w14:textId="60209652" w:rsidR="00C7622C" w:rsidRDefault="00CA5D4B">
      <w:r>
        <w:t xml:space="preserve">               </w:t>
      </w:r>
      <w:r w:rsidR="008D5D49">
        <w:t>The software will populate the sen</w:t>
      </w:r>
      <w:r>
        <w:t>t</w:t>
      </w:r>
      <w:r w:rsidR="008D5D49">
        <w:t xml:space="preserve"> date after the file is created.</w:t>
      </w:r>
    </w:p>
    <w:p w14:paraId="24FFEBA9" w14:textId="63749B4E" w:rsidR="00B83FC8" w:rsidRDefault="00B83FC8">
      <w:r w:rsidRPr="00B83FC8">
        <w:rPr>
          <w:noProof/>
        </w:rPr>
        <w:drawing>
          <wp:inline distT="0" distB="0" distL="0" distR="0" wp14:anchorId="17D599F1" wp14:editId="7CC06839">
            <wp:extent cx="4429125" cy="3274524"/>
            <wp:effectExtent l="0" t="0" r="0" b="254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4472" cy="331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657CB" w14:textId="3B1B1E6A" w:rsidR="008D5D49" w:rsidRPr="006453FE" w:rsidRDefault="008D5D49" w:rsidP="006453F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53FE">
        <w:rPr>
          <w:sz w:val="24"/>
          <w:szCs w:val="24"/>
        </w:rPr>
        <w:lastRenderedPageBreak/>
        <w:t>To enter the date the NOA was received/accepted by CMS, the user will select the “OASIS Billing Info” button and select the checkbox by “CMS received NOA”</w:t>
      </w:r>
    </w:p>
    <w:p w14:paraId="366D4321" w14:textId="7362C517" w:rsidR="008D5D49" w:rsidRPr="006453FE" w:rsidRDefault="006453FE">
      <w:pPr>
        <w:rPr>
          <w:sz w:val="24"/>
          <w:szCs w:val="24"/>
        </w:rPr>
      </w:pPr>
      <w:r w:rsidRPr="006453FE">
        <w:rPr>
          <w:sz w:val="24"/>
          <w:szCs w:val="24"/>
        </w:rPr>
        <w:t xml:space="preserve">                </w:t>
      </w:r>
      <w:r w:rsidR="008D5D49" w:rsidRPr="006453FE">
        <w:rPr>
          <w:sz w:val="24"/>
          <w:szCs w:val="24"/>
        </w:rPr>
        <w:t>The user may add comments in the “Remarks” field i</w:t>
      </w:r>
      <w:r w:rsidR="00F275A0">
        <w:rPr>
          <w:sz w:val="24"/>
          <w:szCs w:val="24"/>
        </w:rPr>
        <w:t>f</w:t>
      </w:r>
      <w:r w:rsidR="008D5D49" w:rsidRPr="006453FE">
        <w:rPr>
          <w:sz w:val="24"/>
          <w:szCs w:val="24"/>
        </w:rPr>
        <w:t xml:space="preserve"> desired  </w:t>
      </w:r>
    </w:p>
    <w:p w14:paraId="7E3930BC" w14:textId="5EE7FAFF" w:rsidR="00457F5A" w:rsidRDefault="00457F5A">
      <w:r w:rsidRPr="00457F5A">
        <w:rPr>
          <w:noProof/>
        </w:rPr>
        <w:drawing>
          <wp:inline distT="0" distB="0" distL="0" distR="0" wp14:anchorId="5C33DB70" wp14:editId="2EAF389E">
            <wp:extent cx="4791075" cy="3542120"/>
            <wp:effectExtent l="0" t="0" r="0" b="127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4266" cy="358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4EE52" w14:textId="27F45EB5" w:rsidR="00457F5A" w:rsidRDefault="00457F5A">
      <w:r w:rsidRPr="00457F5A">
        <w:rPr>
          <w:noProof/>
        </w:rPr>
        <w:lastRenderedPageBreak/>
        <w:drawing>
          <wp:inline distT="0" distB="0" distL="0" distR="0" wp14:anchorId="48DE8042" wp14:editId="0AD22AA8">
            <wp:extent cx="5276850" cy="3827410"/>
            <wp:effectExtent l="0" t="0" r="0" b="1905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9874" cy="388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2061E" w14:textId="2D71A1A4" w:rsidR="00457F5A" w:rsidRDefault="00457F5A">
      <w:r w:rsidRPr="00457F5A">
        <w:rPr>
          <w:noProof/>
        </w:rPr>
        <w:drawing>
          <wp:inline distT="0" distB="0" distL="0" distR="0" wp14:anchorId="6AFFE74B" wp14:editId="51D0C1DA">
            <wp:extent cx="5238750" cy="3916753"/>
            <wp:effectExtent l="0" t="0" r="0" b="762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9634" cy="400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6AE67" w14:textId="2DD3BB8C" w:rsidR="0031389D" w:rsidRDefault="0031389D"/>
    <w:p w14:paraId="31AE4C61" w14:textId="3986024D" w:rsidR="00125E1B" w:rsidRPr="00125E1B" w:rsidRDefault="00125E1B" w:rsidP="00D119B1">
      <w:pPr>
        <w:spacing w:after="0"/>
        <w:rPr>
          <w:b/>
          <w:bCs/>
          <w:sz w:val="24"/>
          <w:szCs w:val="24"/>
          <w:u w:val="single"/>
        </w:rPr>
      </w:pPr>
      <w:r w:rsidRPr="00125E1B">
        <w:rPr>
          <w:b/>
          <w:bCs/>
          <w:sz w:val="24"/>
          <w:szCs w:val="24"/>
          <w:u w:val="single"/>
        </w:rPr>
        <w:lastRenderedPageBreak/>
        <w:t>Additional Information:</w:t>
      </w:r>
    </w:p>
    <w:p w14:paraId="648DE1A1" w14:textId="77777777" w:rsidR="00FB22C1" w:rsidRDefault="00D119B1" w:rsidP="00FB22C1">
      <w:pPr>
        <w:pStyle w:val="ListParagraph"/>
        <w:numPr>
          <w:ilvl w:val="0"/>
          <w:numId w:val="6"/>
        </w:numPr>
        <w:spacing w:after="0"/>
      </w:pPr>
      <w:r w:rsidRPr="0031389D">
        <w:t>All patients receiving HH services in 2021 whose services will continue in 2022, agencies should submit a NOA with a one-time, artificial “admission” date corresponding with the “From” date of the first period of continuing care in 2022</w:t>
      </w:r>
      <w:r>
        <w:t>. This artificial “admission” date will save</w:t>
      </w:r>
      <w:r w:rsidR="007D3DF4">
        <w:t xml:space="preserve"> on the patient Insurance Screen. The software will use </w:t>
      </w:r>
      <w:r w:rsidR="00125E1B">
        <w:t xml:space="preserve">that artificial admission date as the admission date, on all following claims until discharge. For all admissions after 1/1/2022, the admission date on the NOA will match the actual Admission date. </w:t>
      </w:r>
    </w:p>
    <w:p w14:paraId="1BDBD696" w14:textId="77777777" w:rsidR="00FB22C1" w:rsidRDefault="00125E1B" w:rsidP="00FB22C1">
      <w:pPr>
        <w:pStyle w:val="ListParagraph"/>
        <w:numPr>
          <w:ilvl w:val="0"/>
          <w:numId w:val="6"/>
        </w:numPr>
        <w:spacing w:after="0"/>
      </w:pPr>
      <w:r>
        <w:t xml:space="preserve">The User MUST ensure a </w:t>
      </w:r>
      <w:r w:rsidR="00B92D84">
        <w:t xml:space="preserve">Primary Diagnosis </w:t>
      </w:r>
      <w:r>
        <w:t>is</w:t>
      </w:r>
      <w:r w:rsidR="00B92D84">
        <w:t xml:space="preserve"> added prior to submitting NOA</w:t>
      </w:r>
      <w:proofErr w:type="gramStart"/>
      <w:r w:rsidR="00B92D84">
        <w:t xml:space="preserve">.  </w:t>
      </w:r>
      <w:proofErr w:type="gramEnd"/>
      <w:r>
        <w:t>This Primary diagnosis d</w:t>
      </w:r>
      <w:r w:rsidR="00B92D84">
        <w:t>oes not have to match</w:t>
      </w:r>
      <w:r>
        <w:t xml:space="preserve"> the claims billed on the</w:t>
      </w:r>
      <w:r w:rsidR="00B92D84">
        <w:t xml:space="preserve"> Final</w:t>
      </w:r>
      <w:r w:rsidR="00FB22C1">
        <w:t xml:space="preserve"> claim</w:t>
      </w:r>
      <w:r w:rsidR="00B92D84">
        <w:t xml:space="preserve">. </w:t>
      </w:r>
    </w:p>
    <w:p w14:paraId="2CBB6BD2" w14:textId="77777777" w:rsidR="00332BBA" w:rsidRDefault="00332BBA" w:rsidP="00FB22C1">
      <w:pPr>
        <w:pStyle w:val="ListParagraph"/>
        <w:numPr>
          <w:ilvl w:val="0"/>
          <w:numId w:val="6"/>
        </w:numPr>
        <w:spacing w:after="0"/>
      </w:pPr>
      <w:r>
        <w:t>How to add a Transfer from Another HHA:</w:t>
      </w:r>
    </w:p>
    <w:p w14:paraId="54C4C66C" w14:textId="0BCF64E4" w:rsidR="00B92D84" w:rsidRDefault="00FB22C1" w:rsidP="00332BBA">
      <w:pPr>
        <w:pStyle w:val="ListParagraph"/>
        <w:numPr>
          <w:ilvl w:val="1"/>
          <w:numId w:val="6"/>
        </w:numPr>
        <w:spacing w:after="0"/>
      </w:pPr>
      <w:r>
        <w:t xml:space="preserve">If a patient is a transfer from another agency, the user would select the Transfer button. This will </w:t>
      </w:r>
      <w:r w:rsidR="00842B28">
        <w:t>open</w:t>
      </w:r>
      <w:r>
        <w:t xml:space="preserve"> </w:t>
      </w:r>
      <w:r w:rsidR="00842B28">
        <w:t xml:space="preserve">the </w:t>
      </w:r>
      <w:r>
        <w:t xml:space="preserve">OASIS Billing information screen. This will allow the user to select </w:t>
      </w:r>
      <w:r w:rsidR="00F976B2">
        <w:t xml:space="preserve">the ‘Transferred from another HHA’ button within the NOA section. This will put Condition Code 47 on the NOA. </w:t>
      </w:r>
    </w:p>
    <w:p w14:paraId="2E5E293D" w14:textId="6A0ABE15" w:rsidR="00332BBA" w:rsidRDefault="00332BBA" w:rsidP="00332BBA">
      <w:pPr>
        <w:pStyle w:val="ListParagraph"/>
        <w:numPr>
          <w:ilvl w:val="0"/>
          <w:numId w:val="6"/>
        </w:numPr>
        <w:spacing w:after="0"/>
      </w:pPr>
      <w:r>
        <w:t xml:space="preserve">How to Cancel NOA: </w:t>
      </w:r>
    </w:p>
    <w:p w14:paraId="392B21DE" w14:textId="289CCABE" w:rsidR="008B3DB4" w:rsidRDefault="008B3DB4" w:rsidP="008B3DB4">
      <w:pPr>
        <w:pStyle w:val="ListParagraph"/>
        <w:numPr>
          <w:ilvl w:val="1"/>
          <w:numId w:val="6"/>
        </w:numPr>
        <w:spacing w:after="0"/>
      </w:pPr>
      <w:r>
        <w:t xml:space="preserve">The user would follow the same process as generating the Notice of Admission, with exception of the </w:t>
      </w:r>
      <w:r w:rsidR="00EA092B">
        <w:t>Option to Perform would be change to ‘NOA Cancellation’.</w:t>
      </w:r>
    </w:p>
    <w:p w14:paraId="085B4254" w14:textId="300C4A83" w:rsidR="007D3DF4" w:rsidRDefault="007D3DF4"/>
    <w:p w14:paraId="17836713" w14:textId="77777777" w:rsidR="00B92D84" w:rsidRDefault="00B92D84"/>
    <w:sectPr w:rsidR="00B9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12C6"/>
    <w:multiLevelType w:val="hybridMultilevel"/>
    <w:tmpl w:val="D754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781B"/>
    <w:multiLevelType w:val="hybridMultilevel"/>
    <w:tmpl w:val="DAF2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619"/>
    <w:multiLevelType w:val="hybridMultilevel"/>
    <w:tmpl w:val="97DA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0519A"/>
    <w:multiLevelType w:val="hybridMultilevel"/>
    <w:tmpl w:val="3756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86E13"/>
    <w:multiLevelType w:val="hybridMultilevel"/>
    <w:tmpl w:val="262A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1365F"/>
    <w:multiLevelType w:val="hybridMultilevel"/>
    <w:tmpl w:val="2E6C723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18"/>
    <w:rsid w:val="0004230C"/>
    <w:rsid w:val="00066638"/>
    <w:rsid w:val="00125E1B"/>
    <w:rsid w:val="0022795B"/>
    <w:rsid w:val="0031389D"/>
    <w:rsid w:val="00332BBA"/>
    <w:rsid w:val="003A6BD9"/>
    <w:rsid w:val="00457F5A"/>
    <w:rsid w:val="00470ABC"/>
    <w:rsid w:val="00474218"/>
    <w:rsid w:val="006453FE"/>
    <w:rsid w:val="007D3DF4"/>
    <w:rsid w:val="00842B28"/>
    <w:rsid w:val="008B3DB4"/>
    <w:rsid w:val="008D5D49"/>
    <w:rsid w:val="009C4AE6"/>
    <w:rsid w:val="00A00DF5"/>
    <w:rsid w:val="00B83FC8"/>
    <w:rsid w:val="00B92D84"/>
    <w:rsid w:val="00C7622C"/>
    <w:rsid w:val="00CA5D4B"/>
    <w:rsid w:val="00CD3335"/>
    <w:rsid w:val="00CD3D5D"/>
    <w:rsid w:val="00D119B1"/>
    <w:rsid w:val="00DB124C"/>
    <w:rsid w:val="00E246C8"/>
    <w:rsid w:val="00EA092B"/>
    <w:rsid w:val="00EF687A"/>
    <w:rsid w:val="00F00A1C"/>
    <w:rsid w:val="00F275A0"/>
    <w:rsid w:val="00F976B2"/>
    <w:rsid w:val="00F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426F"/>
  <w15:chartTrackingRefBased/>
  <w15:docId w15:val="{3BA6D4CB-AE22-4E16-B996-78DDCC5E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6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Heary</dc:creator>
  <cp:keywords/>
  <dc:description/>
  <cp:lastModifiedBy>Amber Franco</cp:lastModifiedBy>
  <cp:revision>6</cp:revision>
  <dcterms:created xsi:type="dcterms:W3CDTF">2021-12-06T17:51:00Z</dcterms:created>
  <dcterms:modified xsi:type="dcterms:W3CDTF">2021-12-09T21:19:00Z</dcterms:modified>
</cp:coreProperties>
</file>